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B0E71" w14:textId="7CDD140D" w:rsidR="00244E00" w:rsidRPr="00C65A1B" w:rsidRDefault="00C65A1B" w:rsidP="00244E00">
      <w:pPr>
        <w:pStyle w:val="Header"/>
        <w:jc w:val="both"/>
        <w:rPr>
          <w:noProof w:val="0"/>
          <w:sz w:val="24"/>
          <w:lang w:val="en-US"/>
        </w:rPr>
      </w:pPr>
      <w:r w:rsidRPr="00C65A1B">
        <w:rPr>
          <w:noProof w:val="0"/>
          <w:sz w:val="24"/>
        </w:rPr>
        <w:t>3GPP TSG-RAN WG2 Meeting #12</w:t>
      </w:r>
      <w:r w:rsidR="00120E83">
        <w:rPr>
          <w:noProof w:val="0"/>
          <w:sz w:val="24"/>
        </w:rPr>
        <w:t>3</w:t>
      </w:r>
      <w:r w:rsidR="00FF2EC4" w:rsidRPr="00C65A1B">
        <w:rPr>
          <w:noProof w:val="0"/>
          <w:sz w:val="24"/>
          <w:lang w:val="en-US"/>
        </w:rPr>
        <w:tab/>
        <w:t xml:space="preserve"> </w:t>
      </w:r>
      <w:r w:rsidR="00FF2EC4" w:rsidRPr="00C65A1B">
        <w:rPr>
          <w:noProof w:val="0"/>
          <w:sz w:val="24"/>
          <w:lang w:val="en-US"/>
        </w:rPr>
        <w:tab/>
      </w:r>
      <w:r w:rsidR="00FF2EC4" w:rsidRPr="00C65A1B">
        <w:rPr>
          <w:noProof w:val="0"/>
          <w:sz w:val="24"/>
          <w:lang w:val="en-US"/>
        </w:rPr>
        <w:tab/>
      </w:r>
      <w:r w:rsidR="00FF2EC4" w:rsidRPr="00C65A1B">
        <w:rPr>
          <w:noProof w:val="0"/>
          <w:sz w:val="24"/>
          <w:lang w:val="en-US"/>
        </w:rPr>
        <w:tab/>
      </w:r>
      <w:r w:rsidR="00FF2EC4" w:rsidRPr="00C65A1B">
        <w:rPr>
          <w:noProof w:val="0"/>
          <w:sz w:val="24"/>
          <w:lang w:val="en-US"/>
        </w:rPr>
        <w:tab/>
      </w:r>
      <w:r w:rsidR="00FF2EC4" w:rsidRPr="00C65A1B">
        <w:rPr>
          <w:noProof w:val="0"/>
          <w:sz w:val="24"/>
          <w:lang w:val="en-US"/>
        </w:rPr>
        <w:tab/>
      </w:r>
      <w:r w:rsidR="00377F6B" w:rsidRPr="00C65A1B">
        <w:rPr>
          <w:noProof w:val="0"/>
          <w:sz w:val="24"/>
          <w:lang w:val="en-US"/>
        </w:rPr>
        <w:t xml:space="preserve">  </w:t>
      </w:r>
      <w:r w:rsidR="00BB086A" w:rsidRPr="00C65A1B">
        <w:rPr>
          <w:noProof w:val="0"/>
          <w:sz w:val="24"/>
          <w:lang w:val="en-US"/>
        </w:rPr>
        <w:t xml:space="preserve">   R2-</w:t>
      </w:r>
      <w:r w:rsidR="0025650B">
        <w:rPr>
          <w:noProof w:val="0"/>
          <w:sz w:val="24"/>
          <w:lang w:val="en-US"/>
        </w:rPr>
        <w:t>2</w:t>
      </w:r>
      <w:r w:rsidR="00E2438E">
        <w:rPr>
          <w:noProof w:val="0"/>
          <w:sz w:val="24"/>
          <w:lang w:val="en-US"/>
        </w:rPr>
        <w:t>307273</w:t>
      </w:r>
      <w:r w:rsidR="00E2438E" w:rsidRPr="00E2438E">
        <w:rPr>
          <w:rFonts w:cs="Arial"/>
          <w:b w:val="0"/>
          <w:bCs/>
          <w:color w:val="808080"/>
          <w:sz w:val="26"/>
          <w:szCs w:val="26"/>
        </w:rPr>
        <w:t xml:space="preserve"> </w:t>
      </w:r>
    </w:p>
    <w:p w14:paraId="4B9F8AD9" w14:textId="482CA0AA" w:rsidR="00C65A1B" w:rsidRPr="00C65A1B" w:rsidRDefault="0000558C" w:rsidP="00C65A1B">
      <w:pPr>
        <w:pStyle w:val="Header"/>
        <w:rPr>
          <w:noProof w:val="0"/>
          <w:sz w:val="24"/>
        </w:rPr>
      </w:pPr>
      <w:r w:rsidRPr="0000558C">
        <w:rPr>
          <w:noProof w:val="0"/>
          <w:sz w:val="24"/>
        </w:rPr>
        <w:t>Toulouse, France, August 21-25, 2023</w:t>
      </w:r>
    </w:p>
    <w:p w14:paraId="1091FA95" w14:textId="77777777" w:rsidR="00DE683C" w:rsidRPr="00DE683C" w:rsidRDefault="00DE683C" w:rsidP="00DE683C">
      <w:pPr>
        <w:pStyle w:val="Header"/>
        <w:rPr>
          <w:noProof w:val="0"/>
          <w:sz w:val="24"/>
        </w:rPr>
      </w:pPr>
    </w:p>
    <w:p w14:paraId="4B46E4D8" w14:textId="43C1428D" w:rsidR="00DE683C" w:rsidRPr="00DA5216" w:rsidRDefault="00DE683C" w:rsidP="00DE683C">
      <w:pPr>
        <w:tabs>
          <w:tab w:val="left" w:pos="2127"/>
        </w:tabs>
        <w:spacing w:before="120" w:after="0"/>
        <w:ind w:left="2131" w:hanging="2131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Source:</w:t>
      </w:r>
      <w:r w:rsidRPr="00DA5216">
        <w:rPr>
          <w:rFonts w:ascii="Arial" w:hAnsi="Arial"/>
          <w:b/>
          <w:sz w:val="24"/>
        </w:rPr>
        <w:tab/>
      </w:r>
      <w:r w:rsidR="00B50481">
        <w:rPr>
          <w:rFonts w:ascii="Arial" w:hAnsi="Arial"/>
          <w:b/>
          <w:sz w:val="24"/>
        </w:rPr>
        <w:t>Continental Automotive</w:t>
      </w:r>
    </w:p>
    <w:p w14:paraId="79C60D94" w14:textId="04B723CF" w:rsidR="00DE683C" w:rsidRPr="00DA5216" w:rsidRDefault="00DE683C" w:rsidP="00DE683C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Title:                       </w:t>
      </w:r>
      <w:r w:rsidR="00BA6F29" w:rsidRPr="00BA6F29">
        <w:rPr>
          <w:rFonts w:ascii="Arial" w:hAnsi="Arial" w:cs="Arial"/>
          <w:b/>
          <w:bCs/>
          <w:sz w:val="24"/>
        </w:rPr>
        <w:t>Discussion on user plane issues for MT-SDT</w:t>
      </w:r>
    </w:p>
    <w:p w14:paraId="3E03E22C" w14:textId="10EF6BBB" w:rsidR="00DE683C" w:rsidRPr="00DA5216" w:rsidRDefault="00DE683C" w:rsidP="00DE683C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sz w:val="24"/>
          <w:lang w:eastAsia="ja-JP"/>
        </w:rPr>
      </w:pPr>
      <w:r w:rsidRPr="00DA5216">
        <w:rPr>
          <w:rFonts w:ascii="Arial" w:hAnsi="Arial"/>
          <w:b/>
          <w:sz w:val="24"/>
        </w:rPr>
        <w:t>Agenda Item:</w:t>
      </w:r>
      <w:r w:rsidR="006419B1">
        <w:rPr>
          <w:rFonts w:ascii="Arial" w:hAnsi="Arial"/>
          <w:b/>
          <w:sz w:val="24"/>
        </w:rPr>
        <w:t xml:space="preserve">         </w:t>
      </w:r>
      <w:r w:rsidR="00C854EB">
        <w:rPr>
          <w:rFonts w:ascii="Arial" w:hAnsi="Arial"/>
          <w:b/>
          <w:sz w:val="24"/>
        </w:rPr>
        <w:t>7</w:t>
      </w:r>
      <w:r w:rsidR="00A447D5">
        <w:rPr>
          <w:rFonts w:ascii="Arial" w:hAnsi="Arial"/>
          <w:b/>
          <w:sz w:val="24"/>
        </w:rPr>
        <w:t>.</w:t>
      </w:r>
      <w:r w:rsidR="00C65A1B">
        <w:rPr>
          <w:rFonts w:ascii="Arial" w:hAnsi="Arial"/>
          <w:b/>
          <w:sz w:val="24"/>
        </w:rPr>
        <w:t>18</w:t>
      </w:r>
      <w:r w:rsidR="00A447D5">
        <w:rPr>
          <w:rFonts w:ascii="Arial" w:hAnsi="Arial"/>
          <w:b/>
          <w:sz w:val="24"/>
        </w:rPr>
        <w:t>.3</w:t>
      </w:r>
      <w:r w:rsidRPr="00DA5216">
        <w:rPr>
          <w:rFonts w:ascii="Arial" w:hAnsi="Arial"/>
          <w:b/>
          <w:sz w:val="24"/>
        </w:rPr>
        <w:tab/>
      </w:r>
    </w:p>
    <w:p w14:paraId="3608921E" w14:textId="77777777" w:rsidR="00DE683C" w:rsidRPr="00DA5216" w:rsidRDefault="00DE683C" w:rsidP="00DE683C">
      <w:pPr>
        <w:tabs>
          <w:tab w:val="left" w:pos="2127"/>
        </w:tabs>
        <w:spacing w:before="120" w:after="0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Document for:</w:t>
      </w:r>
      <w:r w:rsidRPr="00DA5216">
        <w:rPr>
          <w:rFonts w:ascii="Arial" w:hAnsi="Arial"/>
          <w:b/>
          <w:sz w:val="24"/>
        </w:rPr>
        <w:tab/>
        <w:t>Discussion</w:t>
      </w:r>
      <w:r w:rsidRPr="00DA5216">
        <w:rPr>
          <w:rFonts w:ascii="Arial" w:hAnsi="Arial" w:hint="eastAsia"/>
          <w:b/>
          <w:sz w:val="24"/>
          <w:lang w:eastAsia="ja-JP"/>
        </w:rPr>
        <w:t xml:space="preserve"> and</w:t>
      </w:r>
      <w:r w:rsidRPr="00DA5216">
        <w:rPr>
          <w:rFonts w:ascii="Arial" w:hAnsi="Arial"/>
          <w:b/>
          <w:sz w:val="24"/>
        </w:rPr>
        <w:t xml:space="preserve"> Decision</w:t>
      </w:r>
    </w:p>
    <w:p w14:paraId="01DA6477" w14:textId="77777777" w:rsidR="00DE683C" w:rsidRPr="00DE683C" w:rsidRDefault="00DE683C" w:rsidP="00DE683C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color w:val="000000" w:themeColor="text1"/>
        </w:rPr>
      </w:pPr>
      <w:r w:rsidRPr="00DE683C">
        <w:rPr>
          <w:color w:val="000000" w:themeColor="text1"/>
        </w:rPr>
        <w:t>Introduction</w:t>
      </w:r>
    </w:p>
    <w:p w14:paraId="672B8BEB" w14:textId="102184AA" w:rsidR="00637512" w:rsidRDefault="00C65A1B" w:rsidP="000446EA">
      <w:pPr>
        <w:ind w:left="-26"/>
        <w:rPr>
          <w:rFonts w:eastAsia="SimSun"/>
          <w:lang w:eastAsia="zh-CN"/>
        </w:rPr>
      </w:pPr>
      <w:r>
        <w:t xml:space="preserve">For MT-SDT, </w:t>
      </w:r>
      <w:r>
        <w:rPr>
          <w:rFonts w:eastAsia="MS Mincho"/>
        </w:rPr>
        <w:t>t</w:t>
      </w:r>
      <w:r>
        <w:t>he following</w:t>
      </w:r>
      <w:r>
        <w:rPr>
          <w:rFonts w:eastAsia="MS Mincho"/>
        </w:rPr>
        <w:t xml:space="preserve"> agreements were achieved in RAN2 #</w:t>
      </w:r>
      <w:r>
        <w:t>121</w:t>
      </w:r>
      <w:r>
        <w:rPr>
          <w:rFonts w:eastAsia="MS Mincho"/>
        </w:rPr>
        <w:t xml:space="preserve"> meeting </w:t>
      </w:r>
      <w:r w:rsidR="00C854EB">
        <w:rPr>
          <w:rFonts w:eastAsia="SimSun"/>
          <w:lang w:eastAsia="zh-CN"/>
        </w:rPr>
        <w:t>[1]</w:t>
      </w:r>
      <w:r w:rsidR="00637512">
        <w:rPr>
          <w:rFonts w:eastAsia="SimSun" w:hint="eastAsia"/>
          <w:lang w:eastAsia="zh-CN"/>
        </w:rPr>
        <w:t>:</w:t>
      </w:r>
    </w:p>
    <w:p w14:paraId="3E492A9A" w14:textId="77777777" w:rsidR="00C65A1B" w:rsidRDefault="00C65A1B" w:rsidP="00C65A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Agreement:</w:t>
      </w:r>
    </w:p>
    <w:p w14:paraId="17F42BE4" w14:textId="77777777" w:rsidR="00C65A1B" w:rsidRDefault="00C65A1B" w:rsidP="00C65A1B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</w:pPr>
      <w:r>
        <w:rPr>
          <w:lang w:val="en-US"/>
        </w:rPr>
        <w:t xml:space="preserve">Include a one-bit indication in paging to trigger MT-SDT.   We will ensure that the CCCH message can be transmitted over CG. </w:t>
      </w:r>
    </w:p>
    <w:p w14:paraId="0D448A6B" w14:textId="77777777" w:rsidR="00C65A1B" w:rsidRDefault="00C65A1B" w:rsidP="00C65A1B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</w:pPr>
      <w:r>
        <w:t xml:space="preserve">Indication is per UE.  FFS on signalling.  </w:t>
      </w:r>
    </w:p>
    <w:p w14:paraId="197EF461" w14:textId="77777777" w:rsidR="00C65A1B" w:rsidRDefault="00C65A1B" w:rsidP="00C65A1B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</w:pPr>
      <w:r>
        <w:t>In case condition for paging triggered MT-SDT is not fulfilled the UE initiates RRC Resume procedure. Resume cause FFS</w:t>
      </w:r>
    </w:p>
    <w:p w14:paraId="3671E7FC" w14:textId="77777777" w:rsidR="00C65A1B" w:rsidRDefault="00C65A1B" w:rsidP="00C65A1B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</w:pPr>
      <w:r>
        <w:t xml:space="preserve">Upon receiving MT-SDT trigger, the UE shall initiate SDT procedure if the following checks are satisfied (all these same as Rel-17) </w:t>
      </w:r>
    </w:p>
    <w:p w14:paraId="4ADD719B" w14:textId="77777777" w:rsidR="00C65A1B" w:rsidRDefault="00C65A1B" w:rsidP="00C65A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-     FFS 3a: Check for DVT (if UL data becomes available in UL)</w:t>
      </w:r>
    </w:p>
    <w:p w14:paraId="2C5C36F4" w14:textId="77777777" w:rsidR="00C65A1B" w:rsidRDefault="00C65A1B" w:rsidP="00C65A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-     3b: Check for SDT RSRP threshold</w:t>
      </w:r>
    </w:p>
    <w:p w14:paraId="68B4FAD7" w14:textId="77777777" w:rsidR="00C65A1B" w:rsidRDefault="00C65A1B" w:rsidP="00C65A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-     3c: Check for TA validation before selecting CG (if applicable)</w:t>
      </w:r>
    </w:p>
    <w:p w14:paraId="0207FFE6" w14:textId="77777777" w:rsidR="00C65A1B" w:rsidRDefault="00C65A1B" w:rsidP="00C65A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-     3d: Check for SSB level RSRP threshold for CG resource (if applicable)</w:t>
      </w:r>
    </w:p>
    <w:p w14:paraId="07F0BC5A" w14:textId="77777777" w:rsidR="00C65A1B" w:rsidRDefault="00C65A1B" w:rsidP="00C65A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 xml:space="preserve">5.   When UE resumes for MT-SDT, UE resumes all RBs configured for SDT </w:t>
      </w:r>
    </w:p>
    <w:p w14:paraId="3976791A" w14:textId="77777777" w:rsidR="00C65A1B" w:rsidRDefault="00C65A1B" w:rsidP="00C65A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 xml:space="preserve">6. </w:t>
      </w:r>
      <w:r>
        <w:rPr>
          <w:lang w:val="en-US"/>
        </w:rPr>
        <w:tab/>
        <w:t>RBs configured for SDT are common for MO-SDT and MT-SDT</w:t>
      </w:r>
    </w:p>
    <w:p w14:paraId="1110B1F5" w14:textId="77777777" w:rsidR="00C65A1B" w:rsidRDefault="00C65A1B" w:rsidP="00C65A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  <w:t>If there is valid CG-SDT resources, the UE should use CG-SDT to transmit the response.   FFS on whether we need to optimize for case when CG periodicity is too long</w:t>
      </w:r>
    </w:p>
    <w:p w14:paraId="70EB455C" w14:textId="76290E5F" w:rsidR="00C65A1B" w:rsidRPr="00EE050F" w:rsidRDefault="00C65A1B" w:rsidP="00EE05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>8. To confirm that when SDT is initiated due to MT-SDT, UE can exchange subsequent DL/UL SDT data on the resumed RBs. This clarifies the RB behaviour of related RAN2#120 agreement.</w:t>
      </w:r>
    </w:p>
    <w:p w14:paraId="026537D3" w14:textId="77777777" w:rsidR="00EE050F" w:rsidRDefault="00EE050F" w:rsidP="00DE683C">
      <w:pPr>
        <w:rPr>
          <w:rFonts w:eastAsia="SimSun"/>
          <w:lang w:eastAsia="zh-CN"/>
        </w:rPr>
      </w:pPr>
    </w:p>
    <w:p w14:paraId="3F01D041" w14:textId="20193725" w:rsidR="00C65A1B" w:rsidRPr="00C65A1B" w:rsidRDefault="0052202D" w:rsidP="00DE683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this contribution, we </w:t>
      </w:r>
      <w:r w:rsidR="00C65A1B">
        <w:t>discuss the possible solutions when CG periodicity is too long.</w:t>
      </w:r>
    </w:p>
    <w:p w14:paraId="57ECF1F9" w14:textId="77777777" w:rsidR="00DE683C" w:rsidRPr="00DE683C" w:rsidRDefault="00DE683C" w:rsidP="00DE683C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/>
          <w:color w:val="000000" w:themeColor="text1"/>
        </w:rPr>
        <w:t>Discussion</w:t>
      </w:r>
    </w:p>
    <w:p w14:paraId="33C27149" w14:textId="07C7B9ED" w:rsidR="00C65A1B" w:rsidRDefault="00DA51F8" w:rsidP="00C65A1B">
      <w:r>
        <w:t>For MT-SDT, i</w:t>
      </w:r>
      <w:r w:rsidR="00C65A1B">
        <w:t xml:space="preserve">t </w:t>
      </w:r>
      <w:r>
        <w:t xml:space="preserve">is </w:t>
      </w:r>
      <w:r w:rsidR="00C65A1B">
        <w:t>possible that</w:t>
      </w:r>
      <w:r>
        <w:t xml:space="preserve"> the</w:t>
      </w:r>
      <w:r w:rsidR="00C65A1B">
        <w:t xml:space="preserve"> </w:t>
      </w:r>
      <w:r w:rsidR="00C65A1B">
        <w:rPr>
          <w:color w:val="000000" w:themeColor="text1"/>
        </w:rPr>
        <w:t xml:space="preserve">UE </w:t>
      </w:r>
      <w:r w:rsidR="007B2551">
        <w:rPr>
          <w:color w:val="000000" w:themeColor="text1"/>
        </w:rPr>
        <w:t>has</w:t>
      </w:r>
      <w:r w:rsidR="00C65A1B">
        <w:rPr>
          <w:color w:val="000000" w:themeColor="text1"/>
        </w:rPr>
        <w:t xml:space="preserve"> both CG-SDT and RA-SDT resources at </w:t>
      </w:r>
      <w:r w:rsidR="007B2551">
        <w:rPr>
          <w:color w:val="000000" w:themeColor="text1"/>
        </w:rPr>
        <w:t xml:space="preserve">the </w:t>
      </w:r>
      <w:r w:rsidR="00C65A1B">
        <w:rPr>
          <w:color w:val="000000" w:themeColor="text1"/>
        </w:rPr>
        <w:t xml:space="preserve">same time. Therefore, </w:t>
      </w:r>
      <w:r w:rsidR="00C65A1B">
        <w:t xml:space="preserve">it was agreed in RAN2#121 that if </w:t>
      </w:r>
      <w:r w:rsidR="008F6018">
        <w:t xml:space="preserve">both </w:t>
      </w:r>
      <w:r w:rsidR="00C65A1B">
        <w:t xml:space="preserve">CG-SDT and RA-SDT resources are available, the UE </w:t>
      </w:r>
      <w:r w:rsidR="008F6018">
        <w:t xml:space="preserve">should </w:t>
      </w:r>
      <w:r w:rsidR="00C65A1B">
        <w:t>select CG-SDT resources to transmit the response</w:t>
      </w:r>
      <w:r w:rsidR="00F43413">
        <w:t>, provided</w:t>
      </w:r>
      <w:r w:rsidR="00C65A1B">
        <w:t xml:space="preserve"> there is</w:t>
      </w:r>
      <w:r w:rsidR="00F43413">
        <w:t xml:space="preserve"> a</w:t>
      </w:r>
      <w:r w:rsidR="00C65A1B">
        <w:t xml:space="preserve"> valid CG-SDT resource. But, when </w:t>
      </w:r>
      <w:r w:rsidR="00F43413">
        <w:t xml:space="preserve">the </w:t>
      </w:r>
      <w:r w:rsidR="00C65A1B">
        <w:t xml:space="preserve">CG periodicity is too long, </w:t>
      </w:r>
      <w:r w:rsidR="00746E67">
        <w:t xml:space="preserve">the </w:t>
      </w:r>
      <w:r w:rsidR="00C65A1B">
        <w:t xml:space="preserve">UE has to decide whether the paging response </w:t>
      </w:r>
      <w:r w:rsidR="00746E67">
        <w:t xml:space="preserve">should be </w:t>
      </w:r>
      <w:r w:rsidR="00C65A1B">
        <w:t>transmitted through</w:t>
      </w:r>
      <w:r w:rsidR="00746E67">
        <w:t xml:space="preserve"> a</w:t>
      </w:r>
      <w:r w:rsidR="00C65A1B">
        <w:t xml:space="preserve"> RA-SDT </w:t>
      </w:r>
      <w:r w:rsidR="00746E67">
        <w:t xml:space="preserve">instead of the </w:t>
      </w:r>
      <w:r w:rsidR="00C65A1B">
        <w:t>CG-SDT. The MT-SDT data latency can increase significantly</w:t>
      </w:r>
      <w:r w:rsidR="00746E67">
        <w:t xml:space="preserve"> if</w:t>
      </w:r>
      <w:r w:rsidR="00C65A1B">
        <w:t xml:space="preserve"> </w:t>
      </w:r>
      <w:r w:rsidR="00746E67">
        <w:t xml:space="preserve">the </w:t>
      </w:r>
      <w:r w:rsidR="00C65A1B">
        <w:t xml:space="preserve">UE </w:t>
      </w:r>
      <w:r w:rsidR="00746E67">
        <w:t>simply chooses to transmit</w:t>
      </w:r>
      <w:r w:rsidR="004451FF">
        <w:t xml:space="preserve"> using the</w:t>
      </w:r>
      <w:r w:rsidR="00746E67">
        <w:t xml:space="preserve"> </w:t>
      </w:r>
      <w:r w:rsidR="00C65A1B">
        <w:t xml:space="preserve">CG-SDT resources without considering </w:t>
      </w:r>
      <w:r w:rsidR="004451FF">
        <w:t xml:space="preserve">the </w:t>
      </w:r>
      <w:r w:rsidR="00C65A1B">
        <w:t>CG periodicity. Therefore, to control</w:t>
      </w:r>
      <w:r w:rsidR="00942E9E">
        <w:t xml:space="preserve"> and to determine appropriate</w:t>
      </w:r>
      <w:r w:rsidR="002F2EEC">
        <w:t xml:space="preserve"> </w:t>
      </w:r>
      <w:r w:rsidR="00C65A1B">
        <w:t xml:space="preserve">CG-SDT </w:t>
      </w:r>
      <w:r w:rsidR="005A04B2">
        <w:t>or</w:t>
      </w:r>
      <w:r w:rsidR="00C65A1B">
        <w:t xml:space="preserve"> RA-SDT resources, </w:t>
      </w:r>
      <w:r w:rsidR="005C2C2E">
        <w:t>it is beneficial if</w:t>
      </w:r>
      <w:r w:rsidR="004A59AF">
        <w:t xml:space="preserve"> gNB indicates</w:t>
      </w:r>
      <w:r w:rsidR="005C2C2E">
        <w:t xml:space="preserve"> certain time</w:t>
      </w:r>
      <w:r w:rsidR="002C6C5B">
        <w:t xml:space="preserve"> for the UE.</w:t>
      </w:r>
    </w:p>
    <w:p w14:paraId="636D92FB" w14:textId="36C3C506" w:rsidR="00BA6F29" w:rsidRDefault="0086379D" w:rsidP="002A2522">
      <w:r>
        <w:t xml:space="preserve">The </w:t>
      </w:r>
      <w:r w:rsidR="00C65A1B">
        <w:t>gNB indicates</w:t>
      </w:r>
      <w:r>
        <w:t xml:space="preserve"> a</w:t>
      </w:r>
      <w:r w:rsidR="00C65A1B">
        <w:t xml:space="preserve"> time interval </w:t>
      </w:r>
      <w:r w:rsidR="00F1245F">
        <w:t>through UE specific</w:t>
      </w:r>
      <w:r w:rsidR="00C65A1B">
        <w:t xml:space="preserve"> message. The value of </w:t>
      </w:r>
      <w:r>
        <w:t xml:space="preserve">the </w:t>
      </w:r>
      <w:r w:rsidR="00C65A1B">
        <w:t xml:space="preserve">time interval can be based on the latency </w:t>
      </w:r>
      <w:r w:rsidR="00747364">
        <w:t xml:space="preserve">requirement </w:t>
      </w:r>
      <w:r w:rsidR="00C65A1B">
        <w:t xml:space="preserve">of </w:t>
      </w:r>
      <w:r w:rsidR="00747364">
        <w:t xml:space="preserve">the </w:t>
      </w:r>
      <w:r w:rsidR="00C65A1B">
        <w:t>arriv</w:t>
      </w:r>
      <w:r w:rsidR="00747364">
        <w:t>ing</w:t>
      </w:r>
      <w:r w:rsidR="00C65A1B">
        <w:t xml:space="preserve"> MT-SDT. </w:t>
      </w:r>
      <w:r w:rsidR="00020E96">
        <w:t xml:space="preserve">At T1, when the paging response is triggered, the UE calculates the time difference between the current time T1 and the time T2 when the CG-SDT resources would be available next. </w:t>
      </w:r>
      <w:r w:rsidR="00BE651A">
        <w:t>T</w:t>
      </w:r>
      <w:r w:rsidR="00414EF4">
        <w:t xml:space="preserve">here are </w:t>
      </w:r>
      <w:r w:rsidR="00C65A1B">
        <w:t xml:space="preserve">two </w:t>
      </w:r>
      <w:r w:rsidR="00414EF4">
        <w:t>potential scenarios</w:t>
      </w:r>
      <w:r w:rsidR="00CF3527">
        <w:t xml:space="preserve"> where</w:t>
      </w:r>
      <w:r w:rsidR="00414EF4">
        <w:t xml:space="preserve"> that can occur</w:t>
      </w:r>
      <w:r w:rsidR="00C65A1B">
        <w:t xml:space="preserve"> </w:t>
      </w:r>
      <w:r w:rsidR="00747364">
        <w:t>as follows</w:t>
      </w:r>
      <w:r w:rsidR="00C65A1B">
        <w:t>:</w:t>
      </w:r>
    </w:p>
    <w:p w14:paraId="18B2E516" w14:textId="77777777" w:rsidR="000E7126" w:rsidRDefault="000E7126" w:rsidP="002A2522"/>
    <w:p w14:paraId="2690AC41" w14:textId="77777777" w:rsidR="000E7126" w:rsidRDefault="000E7126" w:rsidP="002A2522"/>
    <w:p w14:paraId="3325AACB" w14:textId="77777777" w:rsidR="000E7126" w:rsidRDefault="000E7126" w:rsidP="002A2522"/>
    <w:p w14:paraId="324501A4" w14:textId="77777777" w:rsidR="000E7126" w:rsidRPr="00BA6F29" w:rsidRDefault="000E7126" w:rsidP="002A2522"/>
    <w:p w14:paraId="0D3C7EE9" w14:textId="644B852F" w:rsidR="003060DA" w:rsidRPr="00BA6F29" w:rsidRDefault="00C65A1B" w:rsidP="00BA6F29">
      <w:pPr>
        <w:ind w:firstLine="720"/>
      </w:pPr>
      <w:r w:rsidRPr="002A2522">
        <w:rPr>
          <w:u w:val="single"/>
        </w:rPr>
        <w:lastRenderedPageBreak/>
        <w:t xml:space="preserve">Case 1: </w:t>
      </w:r>
      <w:r>
        <w:t>CG-SDT resources are not available within the time interval</w:t>
      </w:r>
    </w:p>
    <w:p w14:paraId="1B2EB842" w14:textId="7DAD778B" w:rsidR="003060DA" w:rsidRDefault="006B7DDF" w:rsidP="003060DA">
      <w:pPr>
        <w:spacing w:line="276" w:lineRule="auto"/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02D016D2" wp14:editId="0D6648A8">
            <wp:extent cx="3949700" cy="95700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65120" cy="960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D6244F" w14:textId="77ACF050" w:rsidR="003060DA" w:rsidRPr="003060DA" w:rsidRDefault="003060DA" w:rsidP="003060DA">
      <w:pPr>
        <w:spacing w:line="276" w:lineRule="auto"/>
        <w:jc w:val="center"/>
        <w:rPr>
          <w:color w:val="000000" w:themeColor="text1"/>
        </w:rPr>
      </w:pPr>
      <w:r w:rsidRPr="00EE4147">
        <w:rPr>
          <w:b/>
          <w:bCs/>
        </w:rPr>
        <w:t xml:space="preserve">Figure 1: CG resources not available within </w:t>
      </w:r>
      <w:r w:rsidR="00D040C9">
        <w:rPr>
          <w:b/>
          <w:bCs/>
        </w:rPr>
        <w:t>the time interval</w:t>
      </w:r>
    </w:p>
    <w:p w14:paraId="7ECE0A8B" w14:textId="4A3244C0" w:rsidR="00C65A1B" w:rsidRDefault="00AA6472" w:rsidP="00C65A1B">
      <w:r>
        <w:t>In this case the</w:t>
      </w:r>
      <w:r w:rsidR="00C65A1B">
        <w:t xml:space="preserve"> time difference</w:t>
      </w:r>
      <w:r>
        <w:t xml:space="preserve"> between T2 and T1</w:t>
      </w:r>
      <w:r w:rsidR="00C65A1B">
        <w:t xml:space="preserve"> is larger than the time interval</w:t>
      </w:r>
      <w:r w:rsidR="00CF1BF3">
        <w:t xml:space="preserve"> indicated by the gNB</w:t>
      </w:r>
      <w:r w:rsidR="008E6D3B">
        <w:t>. Therefore</w:t>
      </w:r>
      <w:r w:rsidR="00C65A1B">
        <w:t xml:space="preserve">, </w:t>
      </w:r>
      <w:r w:rsidR="00CF1BF3">
        <w:t xml:space="preserve">it is faster </w:t>
      </w:r>
      <w:r w:rsidR="00C65A1B">
        <w:t xml:space="preserve">to transmit </w:t>
      </w:r>
      <w:r w:rsidR="00CF1BF3">
        <w:t xml:space="preserve">the </w:t>
      </w:r>
      <w:r w:rsidR="00C65A1B">
        <w:t xml:space="preserve">response on RA-SDT </w:t>
      </w:r>
      <w:r w:rsidR="008E6D3B">
        <w:t xml:space="preserve">rather </w:t>
      </w:r>
      <w:r w:rsidR="00C65A1B">
        <w:t>than wait</w:t>
      </w:r>
      <w:r w:rsidR="004E216A">
        <w:t xml:space="preserve"> for the next available</w:t>
      </w:r>
      <w:r w:rsidR="00C65A1B">
        <w:t xml:space="preserve"> CG-SDT resource as shown in figure 1</w:t>
      </w:r>
      <w:r w:rsidR="007113ED">
        <w:t>.</w:t>
      </w:r>
    </w:p>
    <w:p w14:paraId="21282AB9" w14:textId="77777777" w:rsidR="00C65A1B" w:rsidRDefault="00C65A1B" w:rsidP="007869F2">
      <w:pPr>
        <w:ind w:firstLine="720"/>
      </w:pPr>
      <w:r w:rsidRPr="007869F2">
        <w:rPr>
          <w:u w:val="single"/>
        </w:rPr>
        <w:t>Case 2:</w:t>
      </w:r>
      <w:r>
        <w:t xml:space="preserve"> CG-SDT resources are available within the time interval</w:t>
      </w:r>
    </w:p>
    <w:p w14:paraId="30D9855C" w14:textId="1C3D3705" w:rsidR="004D7EF5" w:rsidRDefault="006B7DDF" w:rsidP="000E7126">
      <w:pPr>
        <w:jc w:val="center"/>
      </w:pPr>
      <w:r>
        <w:rPr>
          <w:noProof/>
        </w:rPr>
        <w:drawing>
          <wp:inline distT="0" distB="0" distL="0" distR="0" wp14:anchorId="73747376" wp14:editId="4F8BEF84">
            <wp:extent cx="4242584" cy="974725"/>
            <wp:effectExtent l="0" t="0" r="571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81174" cy="983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F6E74" w14:textId="41D91E93" w:rsidR="004D7EF5" w:rsidRPr="004D7EF5" w:rsidRDefault="004D7EF5" w:rsidP="004D7EF5">
      <w:pPr>
        <w:spacing w:line="276" w:lineRule="auto"/>
        <w:jc w:val="center"/>
        <w:rPr>
          <w:color w:val="000000" w:themeColor="text1"/>
        </w:rPr>
      </w:pPr>
      <w:r w:rsidRPr="00EE4147">
        <w:rPr>
          <w:b/>
          <w:bCs/>
        </w:rPr>
        <w:t xml:space="preserve">Figure </w:t>
      </w:r>
      <w:r>
        <w:rPr>
          <w:b/>
          <w:bCs/>
        </w:rPr>
        <w:t>2</w:t>
      </w:r>
      <w:r w:rsidRPr="00EE4147">
        <w:rPr>
          <w:b/>
          <w:bCs/>
        </w:rPr>
        <w:t xml:space="preserve">: CG resources available within </w:t>
      </w:r>
      <w:r>
        <w:rPr>
          <w:b/>
          <w:bCs/>
        </w:rPr>
        <w:t>the time interval</w:t>
      </w:r>
    </w:p>
    <w:p w14:paraId="7F8014B3" w14:textId="38F69B25" w:rsidR="00C65A1B" w:rsidRDefault="0026582A" w:rsidP="00C65A1B">
      <w:r>
        <w:t xml:space="preserve">In this case, </w:t>
      </w:r>
      <w:r w:rsidR="00C65A1B">
        <w:t>th</w:t>
      </w:r>
      <w:r>
        <w:t>e</w:t>
      </w:r>
      <w:r w:rsidR="00C65A1B">
        <w:t xml:space="preserve"> time difference is smaller than the time interval, </w:t>
      </w:r>
      <w:r w:rsidR="00CA7327">
        <w:t xml:space="preserve">therefore </w:t>
      </w:r>
      <w:r w:rsidR="00C65A1B">
        <w:t>us</w:t>
      </w:r>
      <w:r w:rsidR="00CA7327">
        <w:t>ing the</w:t>
      </w:r>
      <w:r w:rsidR="00C65A1B">
        <w:t xml:space="preserve"> CG-SDT resource can reduce the latency as shown in figure 2</w:t>
      </w:r>
    </w:p>
    <w:p w14:paraId="2A8F291E" w14:textId="587545C4" w:rsidR="00C65A1B" w:rsidRPr="00EE050F" w:rsidRDefault="00C65A1B" w:rsidP="00C65A1B">
      <w:pPr>
        <w:pStyle w:val="BodyText"/>
        <w:spacing w:afterLines="50"/>
        <w:rPr>
          <w:rFonts w:eastAsiaTheme="minorEastAsia"/>
          <w:b/>
          <w:bCs/>
          <w:lang w:eastAsia="zh-CN"/>
        </w:rPr>
      </w:pPr>
      <w:bookmarkStart w:id="0" w:name="_Hlk142225816"/>
      <w:r w:rsidRPr="00EE050F">
        <w:rPr>
          <w:rFonts w:eastAsiaTheme="minorEastAsia"/>
          <w:b/>
          <w:bCs/>
          <w:lang w:eastAsia="zh-CN"/>
        </w:rPr>
        <w:t xml:space="preserve">Observation 1: </w:t>
      </w:r>
      <w:r w:rsidR="002A2522" w:rsidRPr="00EE050F">
        <w:rPr>
          <w:rFonts w:eastAsiaTheme="minorEastAsia"/>
          <w:b/>
          <w:bCs/>
          <w:lang w:eastAsia="zh-CN"/>
        </w:rPr>
        <w:t>T</w:t>
      </w:r>
      <w:r w:rsidRPr="00EE050F">
        <w:rPr>
          <w:rFonts w:eastAsiaTheme="minorEastAsia"/>
          <w:b/>
          <w:bCs/>
          <w:lang w:eastAsia="zh-CN"/>
        </w:rPr>
        <w:t>here is a</w:t>
      </w:r>
      <w:r w:rsidR="00AC0E18" w:rsidRPr="00EE050F">
        <w:rPr>
          <w:rFonts w:eastAsiaTheme="minorEastAsia"/>
          <w:b/>
          <w:bCs/>
          <w:lang w:eastAsia="zh-CN"/>
        </w:rPr>
        <w:t>n</w:t>
      </w:r>
      <w:r w:rsidRPr="00EE050F">
        <w:rPr>
          <w:rFonts w:eastAsiaTheme="minorEastAsia"/>
          <w:b/>
          <w:bCs/>
          <w:lang w:eastAsia="zh-CN"/>
        </w:rPr>
        <w:t xml:space="preserve"> impact on</w:t>
      </w:r>
      <w:r w:rsidR="00AC0E18" w:rsidRPr="00EE050F">
        <w:rPr>
          <w:rFonts w:eastAsiaTheme="minorEastAsia"/>
          <w:b/>
          <w:bCs/>
          <w:lang w:eastAsia="zh-CN"/>
        </w:rPr>
        <w:t xml:space="preserve"> the</w:t>
      </w:r>
      <w:r w:rsidRPr="00EE050F">
        <w:rPr>
          <w:rFonts w:eastAsiaTheme="minorEastAsia"/>
          <w:b/>
          <w:bCs/>
          <w:lang w:eastAsia="zh-CN"/>
        </w:rPr>
        <w:t xml:space="preserve"> latency of MT-SDT when </w:t>
      </w:r>
      <w:r w:rsidR="00C00526" w:rsidRPr="00EE050F">
        <w:rPr>
          <w:rFonts w:eastAsiaTheme="minorEastAsia"/>
          <w:b/>
          <w:bCs/>
          <w:lang w:eastAsia="zh-CN"/>
        </w:rPr>
        <w:t xml:space="preserve">the </w:t>
      </w:r>
      <w:r w:rsidRPr="00EE050F">
        <w:rPr>
          <w:rFonts w:eastAsiaTheme="minorEastAsia"/>
          <w:b/>
          <w:bCs/>
          <w:lang w:eastAsia="zh-CN"/>
        </w:rPr>
        <w:t xml:space="preserve">resource selection to send </w:t>
      </w:r>
      <w:r w:rsidR="00C00526" w:rsidRPr="00EE050F">
        <w:rPr>
          <w:rFonts w:eastAsiaTheme="minorEastAsia"/>
          <w:b/>
          <w:bCs/>
          <w:lang w:eastAsia="zh-CN"/>
        </w:rPr>
        <w:t xml:space="preserve">the </w:t>
      </w:r>
      <w:r w:rsidRPr="00EE050F">
        <w:rPr>
          <w:rFonts w:eastAsiaTheme="minorEastAsia"/>
          <w:b/>
          <w:bCs/>
          <w:lang w:eastAsia="zh-CN"/>
        </w:rPr>
        <w:t xml:space="preserve">paging response </w:t>
      </w:r>
      <w:r w:rsidR="00C00526" w:rsidRPr="00EE050F">
        <w:rPr>
          <w:rFonts w:eastAsiaTheme="minorEastAsia"/>
          <w:b/>
          <w:bCs/>
          <w:lang w:eastAsia="zh-CN"/>
        </w:rPr>
        <w:t xml:space="preserve">is left </w:t>
      </w:r>
      <w:r w:rsidRPr="00EE050F">
        <w:rPr>
          <w:rFonts w:eastAsiaTheme="minorEastAsia"/>
          <w:b/>
          <w:bCs/>
          <w:lang w:eastAsia="zh-CN"/>
        </w:rPr>
        <w:t>up to</w:t>
      </w:r>
      <w:r w:rsidR="00C00526" w:rsidRPr="00EE050F">
        <w:rPr>
          <w:rFonts w:eastAsiaTheme="minorEastAsia"/>
          <w:b/>
          <w:bCs/>
          <w:lang w:eastAsia="zh-CN"/>
        </w:rPr>
        <w:t xml:space="preserve"> the UE</w:t>
      </w:r>
      <w:r w:rsidRPr="00EE050F">
        <w:rPr>
          <w:rFonts w:eastAsiaTheme="minorEastAsia"/>
          <w:b/>
          <w:bCs/>
          <w:lang w:eastAsia="zh-CN"/>
        </w:rPr>
        <w:t xml:space="preserve"> implementation</w:t>
      </w:r>
      <w:r w:rsidR="00C00526" w:rsidRPr="00EE050F">
        <w:rPr>
          <w:rFonts w:eastAsiaTheme="minorEastAsia"/>
          <w:b/>
          <w:bCs/>
          <w:lang w:eastAsia="zh-CN"/>
        </w:rPr>
        <w:t>,</w:t>
      </w:r>
      <w:r w:rsidRPr="00EE050F">
        <w:rPr>
          <w:rFonts w:eastAsiaTheme="minorEastAsia"/>
          <w:b/>
          <w:bCs/>
          <w:lang w:eastAsia="zh-CN"/>
        </w:rPr>
        <w:t xml:space="preserve"> when </w:t>
      </w:r>
      <w:r w:rsidR="00C00526" w:rsidRPr="00EE050F">
        <w:rPr>
          <w:rFonts w:eastAsiaTheme="minorEastAsia"/>
          <w:b/>
          <w:bCs/>
          <w:lang w:eastAsia="zh-CN"/>
        </w:rPr>
        <w:t xml:space="preserve">the </w:t>
      </w:r>
      <w:r w:rsidRPr="00EE050F">
        <w:rPr>
          <w:rFonts w:eastAsiaTheme="minorEastAsia"/>
          <w:b/>
          <w:bCs/>
          <w:lang w:eastAsia="zh-CN"/>
        </w:rPr>
        <w:t>CG periodicity is too long.</w:t>
      </w:r>
    </w:p>
    <w:p w14:paraId="51292130" w14:textId="086E4704" w:rsidR="00C65A1B" w:rsidRPr="00EE050F" w:rsidRDefault="00C65A1B" w:rsidP="00C65A1B">
      <w:pPr>
        <w:pStyle w:val="BodyText"/>
        <w:spacing w:afterLines="50"/>
        <w:rPr>
          <w:rFonts w:eastAsiaTheme="minorEastAsia"/>
          <w:b/>
          <w:bCs/>
          <w:lang w:eastAsia="zh-CN"/>
        </w:rPr>
      </w:pPr>
      <w:r w:rsidRPr="00EE050F">
        <w:rPr>
          <w:rFonts w:eastAsiaTheme="minorEastAsia"/>
          <w:b/>
          <w:bCs/>
          <w:lang w:eastAsia="zh-CN"/>
        </w:rPr>
        <w:t xml:space="preserve">Proposal 1: It would be beneficial for </w:t>
      </w:r>
      <w:r w:rsidR="00666968" w:rsidRPr="00EE050F">
        <w:rPr>
          <w:rFonts w:eastAsiaTheme="minorEastAsia"/>
          <w:b/>
          <w:bCs/>
          <w:lang w:eastAsia="zh-CN"/>
        </w:rPr>
        <w:t xml:space="preserve">the </w:t>
      </w:r>
      <w:r w:rsidRPr="00EE050F">
        <w:rPr>
          <w:rFonts w:eastAsiaTheme="minorEastAsia"/>
          <w:b/>
          <w:bCs/>
          <w:lang w:eastAsia="zh-CN"/>
        </w:rPr>
        <w:t>UE to know which UL resources it has to use to transmit</w:t>
      </w:r>
      <w:r w:rsidR="00666968" w:rsidRPr="00EE050F">
        <w:rPr>
          <w:rFonts w:eastAsiaTheme="minorEastAsia"/>
          <w:b/>
          <w:bCs/>
          <w:lang w:eastAsia="zh-CN"/>
        </w:rPr>
        <w:t xml:space="preserve"> the</w:t>
      </w:r>
      <w:r w:rsidRPr="00EE050F">
        <w:rPr>
          <w:rFonts w:eastAsiaTheme="minorEastAsia"/>
          <w:b/>
          <w:bCs/>
          <w:lang w:eastAsia="zh-CN"/>
        </w:rPr>
        <w:t xml:space="preserve"> paging response when</w:t>
      </w:r>
      <w:r w:rsidRPr="00EE050F">
        <w:rPr>
          <w:b/>
          <w:bCs/>
        </w:rPr>
        <w:t xml:space="preserve"> </w:t>
      </w:r>
      <w:r w:rsidR="00666968" w:rsidRPr="00EE050F">
        <w:rPr>
          <w:b/>
          <w:bCs/>
        </w:rPr>
        <w:t xml:space="preserve">the </w:t>
      </w:r>
      <w:r w:rsidRPr="00EE050F">
        <w:rPr>
          <w:b/>
          <w:bCs/>
        </w:rPr>
        <w:t>CG periodicity is too long</w:t>
      </w:r>
      <w:r w:rsidR="00666968" w:rsidRPr="00EE050F">
        <w:rPr>
          <w:b/>
          <w:bCs/>
        </w:rPr>
        <w:t>.</w:t>
      </w:r>
      <w:r w:rsidRPr="00EE050F">
        <w:rPr>
          <w:rFonts w:eastAsiaTheme="minorEastAsia"/>
          <w:b/>
          <w:bCs/>
          <w:lang w:eastAsia="zh-CN"/>
        </w:rPr>
        <w:t xml:space="preserve"> </w:t>
      </w:r>
    </w:p>
    <w:p w14:paraId="162AA99C" w14:textId="6375FECF" w:rsidR="00C65A1B" w:rsidRPr="00EE050F" w:rsidRDefault="00C65A1B" w:rsidP="00EE050F">
      <w:pPr>
        <w:pStyle w:val="BodyText"/>
        <w:spacing w:afterLines="50"/>
        <w:rPr>
          <w:rFonts w:eastAsiaTheme="minorEastAsia"/>
          <w:b/>
          <w:bCs/>
          <w:lang w:eastAsia="zh-CN"/>
        </w:rPr>
      </w:pPr>
      <w:r w:rsidRPr="00EE050F">
        <w:rPr>
          <w:rFonts w:eastAsiaTheme="minorEastAsia"/>
          <w:b/>
          <w:bCs/>
          <w:lang w:eastAsia="zh-CN"/>
        </w:rPr>
        <w:t xml:space="preserve">Proposal 2: </w:t>
      </w:r>
      <w:r w:rsidR="004C247E" w:rsidRPr="00EE050F">
        <w:rPr>
          <w:rFonts w:eastAsiaTheme="minorEastAsia"/>
          <w:b/>
          <w:bCs/>
          <w:lang w:eastAsia="zh-CN"/>
        </w:rPr>
        <w:t>The n</w:t>
      </w:r>
      <w:r w:rsidRPr="00EE050F">
        <w:rPr>
          <w:rFonts w:eastAsiaTheme="minorEastAsia"/>
          <w:b/>
          <w:bCs/>
          <w:lang w:eastAsia="zh-CN"/>
        </w:rPr>
        <w:t>etwork provides</w:t>
      </w:r>
      <w:r w:rsidR="004C247E" w:rsidRPr="00EE050F">
        <w:rPr>
          <w:rFonts w:eastAsiaTheme="minorEastAsia"/>
          <w:b/>
          <w:bCs/>
          <w:lang w:eastAsia="zh-CN"/>
        </w:rPr>
        <w:t xml:space="preserve"> an</w:t>
      </w:r>
      <w:r w:rsidRPr="00EE050F">
        <w:rPr>
          <w:rFonts w:eastAsiaTheme="minorEastAsia"/>
          <w:b/>
          <w:bCs/>
          <w:lang w:eastAsia="zh-CN"/>
        </w:rPr>
        <w:t xml:space="preserve"> indication in the </w:t>
      </w:r>
      <w:r w:rsidR="00AB4D73">
        <w:rPr>
          <w:rFonts w:eastAsiaTheme="minorEastAsia"/>
          <w:b/>
          <w:bCs/>
          <w:lang w:eastAsia="zh-CN"/>
        </w:rPr>
        <w:t>UE specific</w:t>
      </w:r>
      <w:r w:rsidRPr="00EE050F">
        <w:rPr>
          <w:rFonts w:eastAsiaTheme="minorEastAsia"/>
          <w:b/>
          <w:bCs/>
          <w:lang w:eastAsia="zh-CN"/>
        </w:rPr>
        <w:t xml:space="preserve"> message whether </w:t>
      </w:r>
      <w:r w:rsidR="004C247E" w:rsidRPr="00EE050F">
        <w:rPr>
          <w:rFonts w:eastAsiaTheme="minorEastAsia"/>
          <w:b/>
          <w:bCs/>
          <w:lang w:eastAsia="zh-CN"/>
        </w:rPr>
        <w:t xml:space="preserve">the UE should </w:t>
      </w:r>
      <w:r w:rsidRPr="00EE050F">
        <w:rPr>
          <w:rFonts w:eastAsiaTheme="minorEastAsia"/>
          <w:b/>
          <w:bCs/>
          <w:lang w:eastAsia="zh-CN"/>
        </w:rPr>
        <w:t xml:space="preserve">use RA-SDT or CG-SDT to transmit </w:t>
      </w:r>
      <w:r w:rsidR="004C247E" w:rsidRPr="00EE050F">
        <w:rPr>
          <w:rFonts w:eastAsiaTheme="minorEastAsia"/>
          <w:b/>
          <w:bCs/>
          <w:lang w:eastAsia="zh-CN"/>
        </w:rPr>
        <w:t xml:space="preserve">the </w:t>
      </w:r>
      <w:r w:rsidRPr="00EE050F">
        <w:rPr>
          <w:rFonts w:eastAsiaTheme="minorEastAsia"/>
          <w:b/>
          <w:bCs/>
          <w:lang w:eastAsia="zh-CN"/>
        </w:rPr>
        <w:t>paging response.</w:t>
      </w:r>
    </w:p>
    <w:bookmarkEnd w:id="0"/>
    <w:p w14:paraId="4D40DB74" w14:textId="77777777" w:rsidR="00DE683C" w:rsidRPr="00DE683C" w:rsidRDefault="00DE683C" w:rsidP="00DE683C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0" w:firstLine="0"/>
        <w:jc w:val="both"/>
        <w:rPr>
          <w:color w:val="000000" w:themeColor="text1"/>
        </w:rPr>
      </w:pPr>
      <w:r w:rsidRPr="00DE683C">
        <w:rPr>
          <w:rFonts w:hint="eastAsia"/>
          <w:color w:val="000000" w:themeColor="text1"/>
        </w:rPr>
        <w:t>Conclusions</w:t>
      </w:r>
    </w:p>
    <w:p w14:paraId="4C2FDF0F" w14:textId="0B7E8220" w:rsidR="00DE683C" w:rsidRDefault="00DE683C" w:rsidP="00DE683C">
      <w:pPr>
        <w:rPr>
          <w:color w:val="000000" w:themeColor="text1"/>
          <w:lang w:eastAsia="ja-JP"/>
        </w:rPr>
      </w:pPr>
      <w:r w:rsidRPr="00DE683C">
        <w:rPr>
          <w:color w:val="000000" w:themeColor="text1"/>
        </w:rPr>
        <w:t>In this contribution, we</w:t>
      </w:r>
      <w:r w:rsidRPr="00DE683C">
        <w:rPr>
          <w:rFonts w:hint="eastAsia"/>
          <w:color w:val="000000" w:themeColor="text1"/>
          <w:lang w:val="en-US" w:eastAsia="ko-KR"/>
        </w:rPr>
        <w:t xml:space="preserve"> discussed </w:t>
      </w:r>
      <w:r w:rsidR="00EE050F">
        <w:t>the possible solutions when CG periodicity is too long</w:t>
      </w:r>
      <w:r w:rsidRPr="00DE683C">
        <w:rPr>
          <w:rFonts w:hint="eastAsia"/>
          <w:color w:val="000000" w:themeColor="text1"/>
          <w:lang w:val="en-US" w:eastAsia="ko-KR"/>
        </w:rPr>
        <w:t>.</w:t>
      </w:r>
      <w:r w:rsidRPr="00DE683C">
        <w:rPr>
          <w:color w:val="000000" w:themeColor="text1"/>
        </w:rPr>
        <w:t xml:space="preserve"> Additionally, we ask RAN2 to discuss the following</w:t>
      </w:r>
      <w:r w:rsidR="0057684C">
        <w:rPr>
          <w:color w:val="000000" w:themeColor="text1"/>
        </w:rPr>
        <w:t xml:space="preserve"> observation and proposals</w:t>
      </w:r>
      <w:r w:rsidRPr="00DE683C">
        <w:rPr>
          <w:color w:val="000000" w:themeColor="text1"/>
          <w:lang w:eastAsia="ja-JP"/>
        </w:rPr>
        <w:t xml:space="preserve">: </w:t>
      </w:r>
    </w:p>
    <w:p w14:paraId="021BFF86" w14:textId="77777777" w:rsidR="00AB4D73" w:rsidRPr="00EE050F" w:rsidRDefault="00AB4D73" w:rsidP="00AB4D73">
      <w:pPr>
        <w:pStyle w:val="BodyText"/>
        <w:spacing w:afterLines="50"/>
        <w:rPr>
          <w:rFonts w:eastAsiaTheme="minorEastAsia"/>
          <w:b/>
          <w:bCs/>
          <w:lang w:eastAsia="zh-CN"/>
        </w:rPr>
      </w:pPr>
      <w:r w:rsidRPr="00EE050F">
        <w:rPr>
          <w:rFonts w:eastAsiaTheme="minorEastAsia"/>
          <w:b/>
          <w:bCs/>
          <w:lang w:eastAsia="zh-CN"/>
        </w:rPr>
        <w:t>Observation 1: There is an impact on the latency of MT-SDT when the resource selection to send the paging response is left up to the UE implementation, when the CG periodicity is too long.</w:t>
      </w:r>
    </w:p>
    <w:p w14:paraId="07267413" w14:textId="77777777" w:rsidR="00AB4D73" w:rsidRPr="00EE050F" w:rsidRDefault="00AB4D73" w:rsidP="00AB4D73">
      <w:pPr>
        <w:pStyle w:val="BodyText"/>
        <w:spacing w:afterLines="50"/>
        <w:rPr>
          <w:rFonts w:eastAsiaTheme="minorEastAsia"/>
          <w:b/>
          <w:bCs/>
          <w:lang w:eastAsia="zh-CN"/>
        </w:rPr>
      </w:pPr>
      <w:r w:rsidRPr="00EE050F">
        <w:rPr>
          <w:rFonts w:eastAsiaTheme="minorEastAsia"/>
          <w:b/>
          <w:bCs/>
          <w:lang w:eastAsia="zh-CN"/>
        </w:rPr>
        <w:t>Proposal 1: It would be beneficial for the UE to know which UL resources it has to use to transmit the paging response when</w:t>
      </w:r>
      <w:r w:rsidRPr="00EE050F">
        <w:rPr>
          <w:b/>
          <w:bCs/>
        </w:rPr>
        <w:t xml:space="preserve"> the CG periodicity is too long.</w:t>
      </w:r>
      <w:r w:rsidRPr="00EE050F">
        <w:rPr>
          <w:rFonts w:eastAsiaTheme="minorEastAsia"/>
          <w:b/>
          <w:bCs/>
          <w:lang w:eastAsia="zh-CN"/>
        </w:rPr>
        <w:t xml:space="preserve"> </w:t>
      </w:r>
    </w:p>
    <w:p w14:paraId="1FD4C10D" w14:textId="5A520B14" w:rsidR="00EE050F" w:rsidRPr="00EE050F" w:rsidRDefault="00AB4D73" w:rsidP="00EE050F">
      <w:pPr>
        <w:pStyle w:val="BodyText"/>
        <w:spacing w:afterLines="50"/>
        <w:rPr>
          <w:rFonts w:eastAsiaTheme="minorEastAsia"/>
          <w:b/>
          <w:bCs/>
          <w:lang w:eastAsia="zh-CN"/>
        </w:rPr>
      </w:pPr>
      <w:r w:rsidRPr="00EE050F">
        <w:rPr>
          <w:rFonts w:eastAsiaTheme="minorEastAsia"/>
          <w:b/>
          <w:bCs/>
          <w:lang w:eastAsia="zh-CN"/>
        </w:rPr>
        <w:t xml:space="preserve">Proposal 2: The network provides an indication in the </w:t>
      </w:r>
      <w:r>
        <w:rPr>
          <w:rFonts w:eastAsiaTheme="minorEastAsia"/>
          <w:b/>
          <w:bCs/>
          <w:lang w:eastAsia="zh-CN"/>
        </w:rPr>
        <w:t>UE specific</w:t>
      </w:r>
      <w:r w:rsidRPr="00EE050F">
        <w:rPr>
          <w:rFonts w:eastAsiaTheme="minorEastAsia"/>
          <w:b/>
          <w:bCs/>
          <w:lang w:eastAsia="zh-CN"/>
        </w:rPr>
        <w:t xml:space="preserve"> message whether the UE should use RA-SDT or CG-SDT to transmit the paging response.</w:t>
      </w:r>
    </w:p>
    <w:p w14:paraId="4389F427" w14:textId="77777777" w:rsidR="00DE683C" w:rsidRPr="00DE683C" w:rsidRDefault="00DE683C" w:rsidP="00DE683C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 w:hint="eastAsia"/>
          <w:color w:val="000000" w:themeColor="text1"/>
        </w:rPr>
        <w:t>References</w:t>
      </w:r>
    </w:p>
    <w:p w14:paraId="1262F28A" w14:textId="7707B449" w:rsidR="00AF6728" w:rsidRPr="00897BB1" w:rsidRDefault="00633F58" w:rsidP="00897BB1">
      <w:pPr>
        <w:jc w:val="both"/>
      </w:pPr>
      <w:r>
        <w:rPr>
          <w:color w:val="000000" w:themeColor="text1"/>
        </w:rPr>
        <w:t>[1]</w:t>
      </w:r>
      <w:r w:rsidR="00960F78">
        <w:t xml:space="preserve"> </w:t>
      </w:r>
      <w:r w:rsidR="004755C7">
        <w:t xml:space="preserve">RAN2#121 Vice Chairman Notes     </w:t>
      </w:r>
      <w:r w:rsidR="00897BB1">
        <w:t xml:space="preserve"> </w:t>
      </w:r>
    </w:p>
    <w:sectPr w:rsidR="00AF6728" w:rsidRPr="00897BB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2398D" w14:textId="77777777" w:rsidR="00D15D8E" w:rsidRDefault="00D15D8E">
      <w:pPr>
        <w:spacing w:after="0"/>
      </w:pPr>
      <w:r>
        <w:separator/>
      </w:r>
    </w:p>
  </w:endnote>
  <w:endnote w:type="continuationSeparator" w:id="0">
    <w:p w14:paraId="03F4942E" w14:textId="77777777" w:rsidR="00D15D8E" w:rsidRDefault="00D15D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DCB7A" w14:textId="734AB0D2" w:rsidR="008A5FA1" w:rsidRDefault="00226BA5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136E511E" wp14:editId="0AC42BF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2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DD6FCA" w14:textId="6A1660B0" w:rsidR="00226BA5" w:rsidRPr="00226BA5" w:rsidRDefault="00226BA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226BA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6E511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20DD6FCA" w14:textId="6A1660B0" w:rsidR="00226BA5" w:rsidRPr="00226BA5" w:rsidRDefault="00226BA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226BA5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39319" w14:textId="52A25864" w:rsidR="004C36D6" w:rsidRDefault="005905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61862" w14:textId="0BED479C" w:rsidR="008A5FA1" w:rsidRDefault="00226BA5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8E0DE07" wp14:editId="5437B2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1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5C9B5A" w14:textId="53C0944D" w:rsidR="00226BA5" w:rsidRPr="00226BA5" w:rsidRDefault="00226BA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226BA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E0DE0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n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385C9B5A" w14:textId="53C0944D" w:rsidR="00226BA5" w:rsidRPr="00226BA5" w:rsidRDefault="00226BA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226BA5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A2824" w14:textId="77777777" w:rsidR="00D15D8E" w:rsidRDefault="00D15D8E">
      <w:pPr>
        <w:spacing w:after="0"/>
      </w:pPr>
      <w:r>
        <w:separator/>
      </w:r>
    </w:p>
  </w:footnote>
  <w:footnote w:type="continuationSeparator" w:id="0">
    <w:p w14:paraId="73FA208A" w14:textId="77777777" w:rsidR="00D15D8E" w:rsidRDefault="00D15D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E85DE" w14:textId="77777777" w:rsidR="008A5FA1" w:rsidRDefault="008A5F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DE668" w14:textId="77777777" w:rsidR="008A5FA1" w:rsidRDefault="008A5F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35437" w14:textId="77777777" w:rsidR="008A5FA1" w:rsidRDefault="008A5F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2C13EE"/>
    <w:multiLevelType w:val="multilevel"/>
    <w:tmpl w:val="BE4019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10050944">
    <w:abstractNumId w:val="2"/>
  </w:num>
  <w:num w:numId="2" w16cid:durableId="887182834">
    <w:abstractNumId w:val="1"/>
  </w:num>
  <w:num w:numId="3" w16cid:durableId="19870528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3C"/>
    <w:rsid w:val="0000558C"/>
    <w:rsid w:val="00020E96"/>
    <w:rsid w:val="000446EA"/>
    <w:rsid w:val="00060172"/>
    <w:rsid w:val="00061CB1"/>
    <w:rsid w:val="000A28C5"/>
    <w:rsid w:val="000A3C04"/>
    <w:rsid w:val="000A44F6"/>
    <w:rsid w:val="000C2156"/>
    <w:rsid w:val="000E7126"/>
    <w:rsid w:val="00100287"/>
    <w:rsid w:val="00120E83"/>
    <w:rsid w:val="001300EE"/>
    <w:rsid w:val="00140A58"/>
    <w:rsid w:val="00144C50"/>
    <w:rsid w:val="00157F95"/>
    <w:rsid w:val="001A642E"/>
    <w:rsid w:val="001A6F66"/>
    <w:rsid w:val="001F6B6D"/>
    <w:rsid w:val="00220110"/>
    <w:rsid w:val="00226B82"/>
    <w:rsid w:val="00226BA5"/>
    <w:rsid w:val="00232827"/>
    <w:rsid w:val="00244E00"/>
    <w:rsid w:val="002552D4"/>
    <w:rsid w:val="0025637D"/>
    <w:rsid w:val="0025650B"/>
    <w:rsid w:val="0026582A"/>
    <w:rsid w:val="00270FA4"/>
    <w:rsid w:val="00272E1D"/>
    <w:rsid w:val="00291C29"/>
    <w:rsid w:val="002A069C"/>
    <w:rsid w:val="002A2522"/>
    <w:rsid w:val="002C6C5B"/>
    <w:rsid w:val="002D5CAE"/>
    <w:rsid w:val="002F2EEC"/>
    <w:rsid w:val="00304C73"/>
    <w:rsid w:val="00305B7E"/>
    <w:rsid w:val="003060DA"/>
    <w:rsid w:val="00336EC5"/>
    <w:rsid w:val="00336EEB"/>
    <w:rsid w:val="00340E1E"/>
    <w:rsid w:val="00345D84"/>
    <w:rsid w:val="00377F6B"/>
    <w:rsid w:val="00387F97"/>
    <w:rsid w:val="003B376C"/>
    <w:rsid w:val="003E12C1"/>
    <w:rsid w:val="00412625"/>
    <w:rsid w:val="00414EF4"/>
    <w:rsid w:val="004451FF"/>
    <w:rsid w:val="00466408"/>
    <w:rsid w:val="004755C7"/>
    <w:rsid w:val="0047629D"/>
    <w:rsid w:val="00484166"/>
    <w:rsid w:val="00486957"/>
    <w:rsid w:val="00487A73"/>
    <w:rsid w:val="0049306E"/>
    <w:rsid w:val="004939A2"/>
    <w:rsid w:val="00497CDF"/>
    <w:rsid w:val="004A59AF"/>
    <w:rsid w:val="004C0300"/>
    <w:rsid w:val="004C247E"/>
    <w:rsid w:val="004D7EF5"/>
    <w:rsid w:val="004E216A"/>
    <w:rsid w:val="00510FBD"/>
    <w:rsid w:val="0052202D"/>
    <w:rsid w:val="00523B58"/>
    <w:rsid w:val="005301DE"/>
    <w:rsid w:val="0053311D"/>
    <w:rsid w:val="00544B75"/>
    <w:rsid w:val="005659D5"/>
    <w:rsid w:val="0057684C"/>
    <w:rsid w:val="0059054C"/>
    <w:rsid w:val="00593C41"/>
    <w:rsid w:val="005A04B2"/>
    <w:rsid w:val="005A3330"/>
    <w:rsid w:val="005B39E9"/>
    <w:rsid w:val="005C2C2E"/>
    <w:rsid w:val="005C5FE1"/>
    <w:rsid w:val="005D0F56"/>
    <w:rsid w:val="005D7701"/>
    <w:rsid w:val="005F2D87"/>
    <w:rsid w:val="006010FE"/>
    <w:rsid w:val="00633F58"/>
    <w:rsid w:val="00637512"/>
    <w:rsid w:val="006419B1"/>
    <w:rsid w:val="0064352D"/>
    <w:rsid w:val="00646BE0"/>
    <w:rsid w:val="006538C6"/>
    <w:rsid w:val="00665AEF"/>
    <w:rsid w:val="00666968"/>
    <w:rsid w:val="00667996"/>
    <w:rsid w:val="006B72C0"/>
    <w:rsid w:val="006B7DDF"/>
    <w:rsid w:val="006D1252"/>
    <w:rsid w:val="006D42F5"/>
    <w:rsid w:val="006E3D84"/>
    <w:rsid w:val="006F2470"/>
    <w:rsid w:val="007113ED"/>
    <w:rsid w:val="0074542A"/>
    <w:rsid w:val="00746E67"/>
    <w:rsid w:val="00747364"/>
    <w:rsid w:val="0075421B"/>
    <w:rsid w:val="007579F6"/>
    <w:rsid w:val="0076546B"/>
    <w:rsid w:val="00774C74"/>
    <w:rsid w:val="007869F2"/>
    <w:rsid w:val="007903F5"/>
    <w:rsid w:val="00793AF2"/>
    <w:rsid w:val="007A7F2B"/>
    <w:rsid w:val="007B2551"/>
    <w:rsid w:val="007B6EC7"/>
    <w:rsid w:val="007C170D"/>
    <w:rsid w:val="007F64A9"/>
    <w:rsid w:val="00817D7F"/>
    <w:rsid w:val="008234E6"/>
    <w:rsid w:val="00844921"/>
    <w:rsid w:val="00850934"/>
    <w:rsid w:val="0086379D"/>
    <w:rsid w:val="008727EE"/>
    <w:rsid w:val="008768CB"/>
    <w:rsid w:val="00893130"/>
    <w:rsid w:val="00897BB1"/>
    <w:rsid w:val="008A2616"/>
    <w:rsid w:val="008A5FA1"/>
    <w:rsid w:val="008E3025"/>
    <w:rsid w:val="008E6D3B"/>
    <w:rsid w:val="008F0D71"/>
    <w:rsid w:val="008F6018"/>
    <w:rsid w:val="008F786A"/>
    <w:rsid w:val="00942E9E"/>
    <w:rsid w:val="009442C2"/>
    <w:rsid w:val="00960F78"/>
    <w:rsid w:val="00973EE5"/>
    <w:rsid w:val="00985D66"/>
    <w:rsid w:val="00997CB3"/>
    <w:rsid w:val="009B78EF"/>
    <w:rsid w:val="009D7BA7"/>
    <w:rsid w:val="00A014E0"/>
    <w:rsid w:val="00A13A5F"/>
    <w:rsid w:val="00A21415"/>
    <w:rsid w:val="00A26EBC"/>
    <w:rsid w:val="00A33710"/>
    <w:rsid w:val="00A447D5"/>
    <w:rsid w:val="00A55727"/>
    <w:rsid w:val="00A615EC"/>
    <w:rsid w:val="00AA4DEE"/>
    <w:rsid w:val="00AA6472"/>
    <w:rsid w:val="00AA6A3A"/>
    <w:rsid w:val="00AB4D73"/>
    <w:rsid w:val="00AC0E18"/>
    <w:rsid w:val="00AC11D8"/>
    <w:rsid w:val="00AD56F1"/>
    <w:rsid w:val="00AE1910"/>
    <w:rsid w:val="00AF1DC7"/>
    <w:rsid w:val="00B125C4"/>
    <w:rsid w:val="00B21D4A"/>
    <w:rsid w:val="00B4640D"/>
    <w:rsid w:val="00B50481"/>
    <w:rsid w:val="00B522BA"/>
    <w:rsid w:val="00B7059B"/>
    <w:rsid w:val="00B72F06"/>
    <w:rsid w:val="00B77BA2"/>
    <w:rsid w:val="00B8762B"/>
    <w:rsid w:val="00B90315"/>
    <w:rsid w:val="00BA6F29"/>
    <w:rsid w:val="00BB086A"/>
    <w:rsid w:val="00BB15C7"/>
    <w:rsid w:val="00BC2512"/>
    <w:rsid w:val="00BD5720"/>
    <w:rsid w:val="00BE651A"/>
    <w:rsid w:val="00BF312F"/>
    <w:rsid w:val="00BF54E5"/>
    <w:rsid w:val="00C00526"/>
    <w:rsid w:val="00C118CF"/>
    <w:rsid w:val="00C3320B"/>
    <w:rsid w:val="00C3515F"/>
    <w:rsid w:val="00C40EF1"/>
    <w:rsid w:val="00C57C88"/>
    <w:rsid w:val="00C65A1B"/>
    <w:rsid w:val="00C854EB"/>
    <w:rsid w:val="00C92443"/>
    <w:rsid w:val="00CA49C1"/>
    <w:rsid w:val="00CA7327"/>
    <w:rsid w:val="00CB0331"/>
    <w:rsid w:val="00CB5E36"/>
    <w:rsid w:val="00CC21C2"/>
    <w:rsid w:val="00CF1BF3"/>
    <w:rsid w:val="00CF2894"/>
    <w:rsid w:val="00CF3527"/>
    <w:rsid w:val="00D02E0F"/>
    <w:rsid w:val="00D040C9"/>
    <w:rsid w:val="00D10B7A"/>
    <w:rsid w:val="00D15D8E"/>
    <w:rsid w:val="00D408B8"/>
    <w:rsid w:val="00D5361A"/>
    <w:rsid w:val="00D87103"/>
    <w:rsid w:val="00D95C6D"/>
    <w:rsid w:val="00DA1F1C"/>
    <w:rsid w:val="00DA51F8"/>
    <w:rsid w:val="00DC7467"/>
    <w:rsid w:val="00DE683C"/>
    <w:rsid w:val="00E02FE6"/>
    <w:rsid w:val="00E2438E"/>
    <w:rsid w:val="00E3402D"/>
    <w:rsid w:val="00E45BCF"/>
    <w:rsid w:val="00E5513D"/>
    <w:rsid w:val="00E558E3"/>
    <w:rsid w:val="00E63867"/>
    <w:rsid w:val="00E63A47"/>
    <w:rsid w:val="00E6540F"/>
    <w:rsid w:val="00E747AC"/>
    <w:rsid w:val="00E85A22"/>
    <w:rsid w:val="00EA59C2"/>
    <w:rsid w:val="00EB159B"/>
    <w:rsid w:val="00ED6E30"/>
    <w:rsid w:val="00ED7E9A"/>
    <w:rsid w:val="00EE050F"/>
    <w:rsid w:val="00EE6CDF"/>
    <w:rsid w:val="00EF3649"/>
    <w:rsid w:val="00F10BE3"/>
    <w:rsid w:val="00F1245F"/>
    <w:rsid w:val="00F307DE"/>
    <w:rsid w:val="00F43413"/>
    <w:rsid w:val="00F60AA9"/>
    <w:rsid w:val="00F66EF5"/>
    <w:rsid w:val="00F94079"/>
    <w:rsid w:val="00FA16B3"/>
    <w:rsid w:val="00FB11C9"/>
    <w:rsid w:val="00FB3764"/>
    <w:rsid w:val="00FC7EC4"/>
    <w:rsid w:val="00FD22D0"/>
    <w:rsid w:val="00FE0262"/>
    <w:rsid w:val="00FE1536"/>
    <w:rsid w:val="00FF11A7"/>
    <w:rsid w:val="00FF2D4C"/>
    <w:rsid w:val="00FF2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4FC55F7"/>
  <w15:chartTrackingRefBased/>
  <w15:docId w15:val="{30ADC9B6-5867-4791-9F47-6A23BB4A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83C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659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659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E683C"/>
    <w:pPr>
      <w:tabs>
        <w:tab w:val="num" w:pos="720"/>
      </w:tabs>
      <w:spacing w:before="120" w:after="180"/>
      <w:ind w:left="720" w:hanging="72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DE683C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83C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E683C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E683C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DE683C"/>
    <w:pPr>
      <w:keepNext/>
      <w:keepLines/>
      <w:tabs>
        <w:tab w:val="num" w:pos="1440"/>
      </w:tabs>
      <w:spacing w:before="120"/>
      <w:ind w:left="1440" w:hanging="1440"/>
      <w:outlineLvl w:val="7"/>
    </w:pPr>
    <w:rPr>
      <w:rFonts w:ascii="Arial" w:hAnsi="Arial"/>
    </w:rPr>
  </w:style>
  <w:style w:type="paragraph" w:styleId="Heading9">
    <w:name w:val="heading 9"/>
    <w:basedOn w:val="Normal"/>
    <w:next w:val="Normal"/>
    <w:link w:val="Heading9Char"/>
    <w:qFormat/>
    <w:rsid w:val="00DE683C"/>
    <w:pPr>
      <w:keepNext/>
      <w:keepLines/>
      <w:tabs>
        <w:tab w:val="num" w:pos="1584"/>
      </w:tabs>
      <w:spacing w:before="120"/>
      <w:ind w:left="1582" w:hanging="1582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DE683C"/>
    <w:rPr>
      <w:rFonts w:ascii="Arial" w:hAnsi="Arial" w:cs="Times New Roman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E683C"/>
    <w:rPr>
      <w:rFonts w:ascii="Arial" w:hAnsi="Arial" w:cs="Times New Roma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E683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Normal"/>
    <w:rsid w:val="00DE683C"/>
    <w:pPr>
      <w:keepNext/>
      <w:keepLines/>
    </w:pPr>
    <w:rPr>
      <w:b/>
    </w:rPr>
  </w:style>
  <w:style w:type="paragraph" w:customStyle="1" w:styleId="Doc-text2">
    <w:name w:val="Doc-text2"/>
    <w:basedOn w:val="Normal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F1DC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DC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D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60F78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637512"/>
    <w:pPr>
      <w:ind w:left="568" w:hanging="284"/>
      <w:contextualSpacing w:val="0"/>
    </w:pPr>
    <w:rPr>
      <w:rFonts w:eastAsia="MS Mincho"/>
      <w:lang w:val="en-US" w:eastAsia="ja-JP"/>
    </w:rPr>
  </w:style>
  <w:style w:type="character" w:customStyle="1" w:styleId="B1Char">
    <w:name w:val="B1 Char"/>
    <w:link w:val="B1"/>
    <w:qFormat/>
    <w:rsid w:val="0063751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List">
    <w:name w:val="List"/>
    <w:basedOn w:val="Normal"/>
    <w:uiPriority w:val="99"/>
    <w:semiHidden/>
    <w:unhideWhenUsed/>
    <w:rsid w:val="00637512"/>
    <w:pPr>
      <w:ind w:left="360" w:hanging="360"/>
      <w:contextualSpacing/>
    </w:pPr>
  </w:style>
  <w:style w:type="paragraph" w:customStyle="1" w:styleId="Agreement">
    <w:name w:val="Agreement"/>
    <w:basedOn w:val="Normal"/>
    <w:next w:val="Normal"/>
    <w:uiPriority w:val="99"/>
    <w:qFormat/>
    <w:rsid w:val="0075421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C65A1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qFormat/>
    <w:rsid w:val="00C65A1B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C65A1B"/>
    <w:rPr>
      <w:rFonts w:ascii="Times New Roman" w:eastAsia="MS Mincho" w:hAnsi="Times New Roman" w:cs="Times New Roman"/>
      <w:sz w:val="20"/>
      <w:szCs w:val="24"/>
      <w:lang w:val="en-US" w:eastAsia="en-US"/>
    </w:rPr>
  </w:style>
  <w:style w:type="character" w:customStyle="1" w:styleId="ui-provider">
    <w:name w:val="ui-provider"/>
    <w:basedOn w:val="DefaultParagraphFont"/>
    <w:rsid w:val="005A04B2"/>
  </w:style>
  <w:style w:type="paragraph" w:styleId="Revision">
    <w:name w:val="Revision"/>
    <w:hidden/>
    <w:uiPriority w:val="99"/>
    <w:semiHidden/>
    <w:rsid w:val="00BE651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6006a9c5-d130-408c-bc8e-3b5ecdb17aa0}" enabled="1" method="Standar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692</Words>
  <Characters>3945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Rikin Shah</dc:creator>
  <cp:keywords/>
  <dc:description/>
  <cp:lastModifiedBy>Shah, Rikin</cp:lastModifiedBy>
  <cp:revision>2</cp:revision>
  <dcterms:created xsi:type="dcterms:W3CDTF">2023-08-11T07:51:00Z</dcterms:created>
  <dcterms:modified xsi:type="dcterms:W3CDTF">2023-08-11T07:51:00Z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#000000,8,Arial</vt:lpwstr>
  </property>
  <property fmtid="{D5CDD505-2E9C-101B-9397-08002B2CF9AE}" pid="4" name="ClassificationContentMarkingFooterText">
    <vt:lpwstr>Internal</vt:lpwstr>
  </property>
</Properties>
</file>